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right="336" w:rightChars="16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副高级及以下专任教师岗位聘期考核表</w:t>
      </w:r>
    </w:p>
    <w:tbl>
      <w:tblPr>
        <w:tblStyle w:val="7"/>
        <w:tblW w:w="1261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216"/>
        <w:gridCol w:w="566"/>
        <w:gridCol w:w="478"/>
        <w:gridCol w:w="188"/>
        <w:gridCol w:w="1387"/>
        <w:gridCol w:w="38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胡毅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1974.12</w:t>
            </w:r>
          </w:p>
        </w:tc>
        <w:tc>
          <w:tcPr>
            <w:tcW w:w="11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党政职务</w:t>
            </w:r>
          </w:p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轻化系副主任、支部书记</w:t>
            </w:r>
          </w:p>
        </w:tc>
        <w:tc>
          <w:tcPr>
            <w:tcW w:w="12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是否双肩挑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材料与纺织学院轻化工程系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纺织科学</w:t>
            </w:r>
          </w:p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与工程</w:t>
            </w:r>
          </w:p>
        </w:tc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学科所属学院（部）</w:t>
            </w:r>
          </w:p>
        </w:tc>
        <w:tc>
          <w:tcPr>
            <w:tcW w:w="26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both"/>
              <w:rPr>
                <w:rFonts w:hint="eastAsia" w:ascii="宋体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宋体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    材料与纺织学院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专技职务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2012.09</w:t>
            </w:r>
          </w:p>
        </w:tc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现专技职务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聘任年限</w:t>
            </w:r>
          </w:p>
        </w:tc>
        <w:tc>
          <w:tcPr>
            <w:tcW w:w="26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484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专业技术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7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现聘专技岗位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2014.01</w:t>
            </w:r>
          </w:p>
        </w:tc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现聘专技岗位年限</w:t>
            </w:r>
          </w:p>
        </w:tc>
        <w:tc>
          <w:tcPr>
            <w:tcW w:w="26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          </w:t>
            </w:r>
            <w:bookmarkStart w:id="0" w:name="_GoBack"/>
            <w:bookmarkEnd w:id="0"/>
            <w:r>
              <w:rPr>
                <w:rFonts w:hint="eastAsia" w:ascii="宋体"/>
                <w:lang w:val="en-US" w:eastAsia="zh-CN"/>
              </w:rPr>
              <w:t xml:space="preserve">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7" w:hRule="atLeast"/>
        </w:trPr>
        <w:tc>
          <w:tcPr>
            <w:tcW w:w="269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所聘岗位类型（中级及以下不填）</w:t>
            </w:r>
          </w:p>
        </w:tc>
        <w:tc>
          <w:tcPr>
            <w:tcW w:w="840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□教学型</w:t>
            </w:r>
            <w:r>
              <w:rPr>
                <w:rFonts w:ascii="宋体"/>
              </w:rPr>
              <w:t xml:space="preserve">         </w:t>
            </w:r>
            <w:r>
              <w:rPr>
                <w:rFonts w:hint="default" w:ascii="Arial" w:hAnsi="Arial" w:cs="Arial"/>
              </w:rPr>
              <w:t>√</w:t>
            </w:r>
            <w:r>
              <w:rPr>
                <w:rFonts w:hint="eastAsia" w:ascii="宋体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hint="eastAsia" w:ascii="宋体"/>
              </w:rPr>
              <w:t>□科研型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4" w:hRule="atLeast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hint="eastAsia" w:ascii="宋体"/>
              </w:rPr>
              <w:t>年</w:t>
            </w:r>
            <w:r>
              <w:rPr>
                <w:rFonts w:hint="eastAsia" w:ascii="宋体"/>
                <w:lang w:eastAsia="zh-CN"/>
              </w:rPr>
              <w:t>：</w:t>
            </w:r>
            <w:r>
              <w:rPr>
                <w:rFonts w:hint="eastAsia" w:ascii="宋体"/>
                <w:lang w:val="en-US" w:eastAsia="zh-CN"/>
              </w:rPr>
              <w:t>优秀</w:t>
            </w:r>
            <w:r>
              <w:rPr>
                <w:rFonts w:ascii="宋体"/>
              </w:rPr>
              <w:t xml:space="preserve"> 2015</w:t>
            </w:r>
            <w:r>
              <w:rPr>
                <w:rFonts w:hint="eastAsia" w:ascii="宋体"/>
              </w:rPr>
              <w:t>年：</w:t>
            </w:r>
            <w:r>
              <w:rPr>
                <w:rFonts w:hint="eastAsia" w:ascii="宋体"/>
                <w:lang w:val="en-US" w:eastAsia="zh-CN"/>
              </w:rPr>
              <w:t>合格</w:t>
            </w:r>
            <w:r>
              <w:rPr>
                <w:rFonts w:ascii="宋体"/>
              </w:rPr>
              <w:t>2016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: </w:t>
            </w:r>
            <w:r>
              <w:rPr>
                <w:rFonts w:hint="eastAsia" w:ascii="宋体"/>
                <w:lang w:val="en-US" w:eastAsia="zh-CN"/>
              </w:rPr>
              <w:t>合格（出国）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5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hint="eastAsia" w:ascii="宋体"/>
              </w:rPr>
              <w:t>业绩要求及认定按照材纺政【2014】8号附件2、2</w:t>
            </w:r>
            <w:r>
              <w:rPr>
                <w:rFonts w:ascii="宋体"/>
              </w:rPr>
              <w:t>.1</w:t>
            </w:r>
            <w:r>
              <w:rPr>
                <w:rFonts w:hint="eastAsia" w:ascii="宋体"/>
              </w:rPr>
              <w:t>、2</w:t>
            </w:r>
            <w:r>
              <w:rPr>
                <w:rFonts w:ascii="宋体"/>
              </w:rPr>
              <w:t>.2</w:t>
            </w:r>
            <w:r>
              <w:rPr>
                <w:rFonts w:hint="eastAsia" w:ascii="宋体"/>
              </w:rPr>
              <w:t>执行）：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hint="eastAsia" w:ascii="宋体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5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  <w:lang w:val="en-US" w:eastAsia="zh-CN"/>
              </w:rPr>
              <w:t>601.52</w:t>
            </w:r>
            <w:r>
              <w:rPr>
                <w:rFonts w:ascii="宋体"/>
              </w:rPr>
              <w:t>/</w:t>
            </w:r>
            <w:r>
              <w:rPr>
                <w:rFonts w:hint="eastAsia" w:ascii="宋体"/>
                <w:lang w:val="en-US" w:eastAsia="zh-CN"/>
              </w:rPr>
              <w:t>A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525.616/A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386.156/不考核</w:t>
            </w:r>
          </w:p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（出国）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717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科学、教学研究工作量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235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1185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2020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398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是否完成基础工作量和业绩等级要求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4"/>
              <w:spacing w:line="400" w:lineRule="exact"/>
              <w:ind w:left="720" w:right="336" w:rightChars="160" w:firstLine="0" w:firstLineChars="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（3）完成所聘岗位职责5所规定的业绩情况：</w:t>
            </w:r>
          </w:p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科学研究工作：</w:t>
            </w:r>
            <w:r>
              <w:rPr>
                <w:rFonts w:hint="eastAsia" w:ascii="宋体"/>
                <w:u w:val="single"/>
                <w:lang w:val="en-US" w:eastAsia="zh-CN"/>
              </w:rPr>
              <w:t>D</w:t>
            </w:r>
            <w:r>
              <w:rPr>
                <w:rFonts w:hint="eastAsia" w:ascii="宋体"/>
                <w:u w:val="single"/>
              </w:rPr>
              <w:t>、</w:t>
            </w:r>
            <w:r>
              <w:rPr>
                <w:rFonts w:hint="eastAsia" w:ascii="宋体"/>
                <w:u w:val="single"/>
                <w:lang w:val="en-US" w:eastAsia="zh-CN"/>
              </w:rPr>
              <w:t>E</w:t>
            </w:r>
            <w:r>
              <w:rPr>
                <w:rFonts w:ascii="宋体"/>
                <w:u w:val="single"/>
              </w:rPr>
              <w:t xml:space="preserve"> </w:t>
            </w:r>
            <w:r>
              <w:rPr>
                <w:rFonts w:hint="eastAsia" w:ascii="宋体"/>
              </w:rPr>
              <w:t>，教学研究工作</w:t>
            </w:r>
            <w:r>
              <w:rPr>
                <w:rFonts w:ascii="宋体"/>
              </w:rPr>
              <w:t>:</w:t>
            </w:r>
            <w:r>
              <w:rPr>
                <w:rFonts w:hint="eastAsia" w:ascii="宋体"/>
                <w:u w:val="single"/>
                <w:lang w:val="en-US" w:eastAsia="zh-CN"/>
              </w:rPr>
              <w:t>F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  <w:p>
            <w:pPr>
              <w:pStyle w:val="14"/>
              <w:spacing w:line="400" w:lineRule="exact"/>
              <w:ind w:right="336" w:rightChars="160" w:firstLine="0" w:firstLineChars="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99" w:type="dxa"/>
            <w:gridSpan w:val="1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hint="eastAsia" w:ascii="宋体"/>
              </w:rPr>
              <w:t>本人签字：</w:t>
            </w:r>
            <w:r>
              <w:rPr>
                <w:rFonts w:hint="eastAsia" w:ascii="宋体"/>
                <w:lang w:val="en-US" w:eastAsia="zh-CN"/>
              </w:rPr>
              <w:t>胡毅</w:t>
            </w:r>
          </w:p>
        </w:tc>
        <w:tc>
          <w:tcPr>
            <w:tcW w:w="38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是否完成所聘岗位职责要求：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default" w:ascii="Arial" w:hAnsi="Arial" w:cs="Arial"/>
              </w:rPr>
              <w:t>√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所属考核工作小组意见</w:t>
            </w:r>
          </w:p>
        </w:tc>
        <w:tc>
          <w:tcPr>
            <w:tcW w:w="819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hint="eastAsia" w:ascii="宋体"/>
              </w:rPr>
              <w:t>（建议为基本合格等级的，需说明理由）</w:t>
            </w: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不合格</w:t>
            </w: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职能部门审核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校考核工作领导小组意见</w:t>
            </w:r>
          </w:p>
        </w:tc>
        <w:tc>
          <w:tcPr>
            <w:tcW w:w="819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不合格</w:t>
            </w:r>
          </w:p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日</w:t>
            </w:r>
          </w:p>
        </w:tc>
        <w:tc>
          <w:tcPr>
            <w:tcW w:w="384" w:type="dxa"/>
            <w:vMerge w:val="continue"/>
            <w:tcBorders>
              <w:bottom w:val="nil"/>
            </w:tcBorders>
            <w:vAlign w:val="center"/>
          </w:tcPr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</w:tc>
      </w:tr>
    </w:tbl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  <w:r>
        <w:rPr>
          <w:rFonts w:hint="eastAsia" w:ascii="黑体" w:eastAsia="黑体"/>
          <w:b/>
          <w:szCs w:val="30"/>
        </w:rPr>
        <w:t>以下仅需按照《浙江理工大学正高级专业技术岗位的职责与聘用条件（浙理工党【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hint="eastAsia" w:ascii="黑体" w:eastAsia="黑体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hint="eastAsia" w:ascii="黑体" w:eastAsia="黑体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hint="eastAsia" w:ascii="黑体" w:eastAsia="黑体"/>
          <w:b/>
          <w:szCs w:val="30"/>
        </w:rPr>
        <w:t>）》</w:t>
      </w: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  <w:r>
        <w:rPr>
          <w:rFonts w:hint="eastAsia" w:ascii="黑体" w:eastAsia="黑体"/>
          <w:b/>
          <w:szCs w:val="30"/>
        </w:rPr>
        <w:t>填写所聘岗位“岗位职责”</w:t>
      </w:r>
      <w:r>
        <w:rPr>
          <w:rFonts w:ascii="黑体" w:eastAsia="黑体"/>
          <w:b/>
          <w:szCs w:val="30"/>
        </w:rPr>
        <w:t>6</w:t>
      </w:r>
      <w:r>
        <w:rPr>
          <w:rFonts w:hint="eastAsia" w:ascii="黑体" w:eastAsia="黑体"/>
          <w:b/>
          <w:szCs w:val="30"/>
        </w:rPr>
        <w:t>所规定的业绩情况。</w:t>
      </w:r>
      <w:r>
        <w:rPr>
          <w:rFonts w:ascii="黑体" w:eastAsia="黑体"/>
          <w:b/>
          <w:szCs w:val="30"/>
        </w:rPr>
        <w:t xml:space="preserve">       </w:t>
      </w:r>
    </w:p>
    <w:p>
      <w:pPr>
        <w:numPr>
          <w:ilvl w:val="0"/>
          <w:numId w:val="1"/>
        </w:numPr>
        <w:spacing w:line="320" w:lineRule="exact"/>
        <w:ind w:right="336" w:rightChars="160"/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4"/>
        </w:rPr>
        <w:t>获奖、教学成果、知识产权及艺术展情况</w:t>
      </w:r>
      <w:r>
        <w:rPr>
          <w:rFonts w:hint="eastAsia" w:ascii="黑体" w:eastAsia="黑体"/>
          <w:szCs w:val="21"/>
        </w:rPr>
        <w:t>（限填</w:t>
      </w:r>
      <w:r>
        <w:rPr>
          <w:rFonts w:ascii="黑体" w:eastAsia="黑体"/>
          <w:szCs w:val="21"/>
        </w:rPr>
        <w:t>5</w:t>
      </w:r>
      <w:r>
        <w:rPr>
          <w:rFonts w:hint="eastAsia" w:ascii="黑体" w:eastAsia="黑体"/>
          <w:szCs w:val="21"/>
        </w:rPr>
        <w:t>项以内</w:t>
      </w:r>
      <w:r>
        <w:rPr>
          <w:rFonts w:ascii="黑体" w:eastAsia="黑体"/>
          <w:szCs w:val="21"/>
        </w:rPr>
        <w:t>)</w:t>
      </w:r>
    </w:p>
    <w:tbl>
      <w:tblPr>
        <w:tblStyle w:val="7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颁奖部门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专利类别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成果名称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类（级）</w:t>
            </w:r>
            <w:r>
              <w:rPr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颁奖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授权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排名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学院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黑体" w:eastAsia="黑体"/>
                <w:sz w:val="24"/>
              </w:rPr>
              <w:t>知识产权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40" w:right="0" w:rightChars="0" w:hanging="210" w:hangingChars="100"/>
              <w:jc w:val="center"/>
              <w:textAlignment w:val="auto"/>
              <w:outlineLvl w:val="9"/>
              <w:rPr>
                <w:rFonts w:hint="default" w:ascii="Times New Roman" w:hAnsi="Times New Roman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1"/>
                <w:szCs w:val="21"/>
                <w:lang w:val="en-US" w:eastAsia="zh-CN" w:bidi="ar-SA"/>
              </w:rPr>
              <w:t>无卤膦酸酯阻燃改性</w:t>
            </w:r>
          </w:p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1"/>
                <w:szCs w:val="21"/>
                <w:lang w:val="en-US" w:eastAsia="zh-CN" w:bidi="ar-SA"/>
              </w:rPr>
              <w:t>水性聚氨酯涂层剂及其制备方法.</w:t>
            </w:r>
          </w:p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1"/>
                <w:szCs w:val="21"/>
                <w:lang w:val="en-US" w:eastAsia="zh-CN" w:bidi="ar-SA"/>
              </w:rPr>
              <w:t>ZL 201210549906.X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发明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2015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/09/09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1/4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黑体" w:eastAsia="黑体"/>
                <w:sz w:val="24"/>
              </w:rPr>
              <w:t>知识产权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1"/>
                <w:szCs w:val="21"/>
                <w:lang w:val="en-US" w:eastAsia="zh-CN" w:bidi="ar-SA"/>
              </w:rPr>
              <w:t>丝素/聚丙烯腈基抗菌防紫外纳米纤维膜的静电纺丝制备方法.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1"/>
                <w:szCs w:val="21"/>
                <w:lang w:val="en-US" w:eastAsia="zh-CN" w:bidi="ar-SA"/>
              </w:rPr>
              <w:t>ZL 201310005043.4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发明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2015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/10/28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1/4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黑体" w:eastAsia="黑体"/>
                <w:sz w:val="24"/>
              </w:rPr>
              <w:t>知识产权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40" w:right="0" w:rightChars="0" w:hanging="210" w:hangingChars="100"/>
              <w:jc w:val="center"/>
              <w:textAlignment w:val="auto"/>
              <w:outlineLvl w:val="9"/>
              <w:rPr>
                <w:rFonts w:hint="default" w:ascii="Times New Roman" w:hAnsi="Times New Roman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1"/>
                <w:szCs w:val="21"/>
                <w:lang w:val="en-US" w:eastAsia="zh-CN" w:bidi="ar-SA"/>
              </w:rPr>
              <w:t>二氧化锰/聚丙烯腈基</w:t>
            </w:r>
          </w:p>
          <w:p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1"/>
                <w:szCs w:val="21"/>
                <w:lang w:val="en-US" w:eastAsia="zh-CN" w:bidi="ar-SA"/>
              </w:rPr>
              <w:t>氧化分解甲醛型纳米纤维膜的静电纺丝制备方法.ZL 201310309595.4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发明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2016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/04/06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1/4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黑体" w:eastAsia="黑体"/>
                <w:sz w:val="24"/>
              </w:rPr>
              <w:t>知识产权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一种采用敲章法的织物整理液及其整理工艺.ZL201410305712.4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发明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2016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/08/03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4/6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>
      <w:pPr>
        <w:spacing w:line="300" w:lineRule="exact"/>
        <w:ind w:right="336" w:rightChars="160" w:firstLine="100" w:firstLineChars="5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注：类型指获奖、教学成果、知识产权及艺术展。</w:t>
      </w:r>
    </w:p>
    <w:p>
      <w:pPr>
        <w:spacing w:line="300" w:lineRule="exact"/>
        <w:ind w:right="336" w:rightChars="160" w:firstLine="120" w:firstLineChars="5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二、主持科研和教改项目情况（仅填写本聘期内立项项目，限填</w:t>
      </w:r>
      <w:r>
        <w:rPr>
          <w:rFonts w:ascii="黑体" w:eastAsia="黑体"/>
          <w:sz w:val="24"/>
        </w:rPr>
        <w:t>4</w:t>
      </w:r>
      <w:r>
        <w:rPr>
          <w:rFonts w:hint="eastAsia" w:ascii="黑体" w:eastAsia="黑体"/>
          <w:sz w:val="24"/>
        </w:rPr>
        <w:t>项）</w:t>
      </w:r>
    </w:p>
    <w:tbl>
      <w:tblPr>
        <w:tblStyle w:val="7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金额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立项时间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/>
              </w:rPr>
            </w:pPr>
            <w:r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家纺面料复合功能整理快速检测技术研发(14010432-J)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/>
              </w:rPr>
            </w:pPr>
            <w:r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校企合作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/>
              </w:rPr>
            </w:pPr>
            <w:r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20万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2015/01-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/>
              </w:rPr>
            </w:pPr>
            <w:r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2017/01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1/1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contextualSpacing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等离子体诱导接枝聚合制备疏水纺织品及其机制研究（51403189）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contextualSpacing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国家自然科学基金青年基金项目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contextualSpacing/>
              <w:jc w:val="center"/>
              <w:textAlignment w:val="auto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国家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contextualSpacing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25 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contextualSpacing/>
              <w:jc w:val="center"/>
              <w:textAlignment w:val="auto"/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2015/01-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contextualSpacing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2017/12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Times New Roman" w:hAnsi="Times New Roman" w:eastAsia="华文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4/7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</w:tbl>
    <w:p>
      <w:pPr>
        <w:spacing w:line="400" w:lineRule="exact"/>
        <w:ind w:right="336" w:rightChars="160" w:firstLine="120" w:firstLineChars="5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三、论文、著作、教材（限填</w:t>
      </w:r>
      <w:r>
        <w:rPr>
          <w:rFonts w:ascii="黑体" w:eastAsia="黑体"/>
          <w:sz w:val="24"/>
        </w:rPr>
        <w:t>SCI</w:t>
      </w:r>
      <w:r>
        <w:rPr>
          <w:rFonts w:hint="eastAsia" w:ascii="黑体" w:eastAsia="黑体"/>
          <w:sz w:val="24"/>
        </w:rPr>
        <w:t>、</w:t>
      </w:r>
      <w:r>
        <w:rPr>
          <w:rFonts w:ascii="黑体" w:eastAsia="黑体"/>
          <w:sz w:val="24"/>
        </w:rPr>
        <w:t>EI</w:t>
      </w:r>
      <w:r>
        <w:rPr>
          <w:rFonts w:hint="eastAsia" w:ascii="黑体" w:eastAsia="黑体"/>
          <w:sz w:val="24"/>
        </w:rPr>
        <w:t>、一级、</w:t>
      </w:r>
      <w:r>
        <w:rPr>
          <w:rFonts w:ascii="黑体" w:eastAsia="黑体"/>
          <w:sz w:val="24"/>
        </w:rPr>
        <w:t>CSSCI</w:t>
      </w:r>
      <w:r>
        <w:rPr>
          <w:rFonts w:hint="eastAsia" w:ascii="黑体" w:eastAsia="黑体"/>
          <w:sz w:val="24"/>
        </w:rPr>
        <w:t>、</w:t>
      </w:r>
      <w:r>
        <w:rPr>
          <w:rFonts w:ascii="黑体" w:eastAsia="黑体"/>
          <w:sz w:val="24"/>
        </w:rPr>
        <w:t>CSCD</w:t>
      </w:r>
      <w:r>
        <w:rPr>
          <w:rFonts w:hint="eastAsia" w:ascii="黑体" w:eastAsia="黑体"/>
          <w:sz w:val="24"/>
        </w:rPr>
        <w:t>论文，限填</w:t>
      </w:r>
      <w:r>
        <w:rPr>
          <w:rFonts w:ascii="黑体" w:eastAsia="黑体"/>
          <w:sz w:val="24"/>
        </w:rPr>
        <w:t>6</w:t>
      </w:r>
      <w:r>
        <w:rPr>
          <w:rFonts w:hint="eastAsia" w:ascii="黑体" w:eastAsia="黑体"/>
          <w:sz w:val="24"/>
        </w:rPr>
        <w:t>项）</w:t>
      </w:r>
    </w:p>
    <w:tbl>
      <w:tblPr>
        <w:tblStyle w:val="7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论文（著作、教材）题目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发表年月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刊物</w:t>
            </w:r>
            <w:r>
              <w:rPr>
                <w:rFonts w:ascii="宋体"/>
                <w:sz w:val="18"/>
                <w:szCs w:val="18"/>
              </w:rPr>
              <w:t>(</w:t>
            </w:r>
            <w:r>
              <w:rPr>
                <w:rFonts w:hint="eastAsia" w:ascii="宋体"/>
                <w:sz w:val="18"/>
                <w:szCs w:val="18"/>
              </w:rPr>
              <w:t>出版社</w:t>
            </w:r>
            <w:r>
              <w:rPr>
                <w:rFonts w:ascii="宋体"/>
                <w:sz w:val="18"/>
                <w:szCs w:val="18"/>
              </w:rPr>
              <w:t>)</w:t>
            </w:r>
            <w:r>
              <w:rPr>
                <w:rFonts w:hint="eastAsia" w:ascii="宋体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/>
                <w:sz w:val="20"/>
                <w:szCs w:val="20"/>
              </w:rPr>
              <w:t>论文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Excimer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Ultraviolet-Irradiated Carbon Nanofibers as Advanced Anodes for Long Cycle Life Lithium-Ion Batteries.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2016, 12 (38): 5269-5275.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z w:val="21"/>
                <w:szCs w:val="21"/>
              </w:rPr>
              <w:t>Small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sz w:val="20"/>
                <w:szCs w:val="20"/>
              </w:rPr>
              <w:t xml:space="preserve">SCI </w:t>
            </w:r>
            <w:r>
              <w:rPr>
                <w:rFonts w:hint="eastAsia"/>
                <w:sz w:val="20"/>
                <w:szCs w:val="20"/>
              </w:rPr>
              <w:t>一档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2/8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1"/>
                <w:szCs w:val="21"/>
                <w:lang w:val="en-US" w:eastAsia="zh-CN"/>
              </w:rPr>
              <w:t>(通讯作者)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/>
                <w:sz w:val="20"/>
                <w:szCs w:val="20"/>
              </w:rPr>
              <w:t>论文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Tin Nanoparticle-Loaded Porous Carbon Nanofiber Composite Anodes for High Current Lithium-Ion Batteries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2015, 278: 660-667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/>
                <w:kern w:val="0"/>
                <w:sz w:val="21"/>
                <w:szCs w:val="21"/>
              </w:rPr>
              <w:t>Journal of Power Sources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sz w:val="20"/>
                <w:szCs w:val="20"/>
              </w:rPr>
              <w:t xml:space="preserve">SCI </w:t>
            </w:r>
            <w:r>
              <w:rPr>
                <w:rFonts w:hint="eastAsia"/>
                <w:sz w:val="20"/>
                <w:szCs w:val="20"/>
              </w:rPr>
              <w:t>一档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2/6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1"/>
                <w:szCs w:val="21"/>
                <w:lang w:val="en-US" w:eastAsia="zh-CN"/>
              </w:rPr>
              <w:t>(通讯作者)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/>
                <w:sz w:val="20"/>
                <w:szCs w:val="20"/>
              </w:rPr>
              <w:t>论文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Controlled Synthesis of Carbon Nanofibers Anchored with ZnxCo</w:t>
            </w:r>
            <w:r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-XO</w:t>
            </w:r>
            <w:r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Nanocubes as Binder-Free Anode Materials for Lithium-Ion Batteries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2016, 8(4): 2591-2599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/>
                <w:kern w:val="0"/>
                <w:sz w:val="21"/>
                <w:szCs w:val="21"/>
              </w:rPr>
              <w:t>ACS Applied Materials &amp; Interfaces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sz w:val="20"/>
                <w:szCs w:val="20"/>
              </w:rPr>
              <w:t xml:space="preserve">SCI </w:t>
            </w:r>
            <w:r>
              <w:rPr>
                <w:rFonts w:hint="eastAsia"/>
                <w:sz w:val="20"/>
                <w:szCs w:val="20"/>
              </w:rPr>
              <w:t>一档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2/5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1"/>
                <w:szCs w:val="21"/>
                <w:lang w:val="en-US" w:eastAsia="zh-CN"/>
              </w:rPr>
              <w:t>(通讯作者)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/>
                <w:sz w:val="20"/>
                <w:szCs w:val="20"/>
              </w:rPr>
              <w:t>论文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Pyrolytic Carbon-Coated Silicon/Carbon Nanofiber Composite Anodes for High-Performance Lithium-Ion Batteries.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2015, 298: 130-13.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/>
                <w:kern w:val="0"/>
                <w:sz w:val="21"/>
                <w:szCs w:val="21"/>
              </w:rPr>
              <w:t>Journal of Power Sources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sz w:val="20"/>
                <w:szCs w:val="20"/>
              </w:rPr>
              <w:t xml:space="preserve">SCI </w:t>
            </w:r>
            <w:r>
              <w:rPr>
                <w:rFonts w:hint="eastAsia"/>
                <w:sz w:val="20"/>
                <w:szCs w:val="20"/>
              </w:rPr>
              <w:t>一档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2/9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1"/>
                <w:szCs w:val="21"/>
                <w:lang w:val="en-US" w:eastAsia="zh-CN"/>
              </w:rPr>
              <w:t>(通讯作者)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/>
                <w:sz w:val="20"/>
                <w:szCs w:val="20"/>
              </w:rPr>
              <w:t>论文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Controllable Synthesis of Carbon-Coated Sn-SnO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-Carbon-Nanofiber Membrane as Advanced Binder-Free Anode for Lithium-Ion Batteries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2016, 188: 661-670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z w:val="21"/>
                <w:szCs w:val="21"/>
              </w:rPr>
              <w:instrText xml:space="preserve"> HYPERLINK "http://www.sciencedirect.com/science/journal/00134686" \o "Go to Electrochimica Acta on ScienceDirect" </w:instrTex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/>
                <w:kern w:val="0"/>
                <w:sz w:val="21"/>
                <w:szCs w:val="21"/>
              </w:rPr>
              <w:t>Electrochimica Acta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/>
                <w:kern w:val="0"/>
                <w:sz w:val="21"/>
                <w:szCs w:val="21"/>
              </w:rPr>
              <w:fldChar w:fldCharType="end"/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sz w:val="20"/>
                <w:szCs w:val="20"/>
              </w:rPr>
              <w:t xml:space="preserve">SCI </w:t>
            </w:r>
            <w:r>
              <w:rPr>
                <w:rFonts w:hint="eastAsia"/>
                <w:sz w:val="20"/>
                <w:szCs w:val="20"/>
              </w:rPr>
              <w:t>一档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2/8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1"/>
                <w:szCs w:val="21"/>
                <w:lang w:val="en-US" w:eastAsia="zh-CN"/>
              </w:rPr>
              <w:t>(通讯作者)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/>
                <w:sz w:val="20"/>
                <w:szCs w:val="20"/>
              </w:rPr>
              <w:t>论文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Sandwich Structure of Graphene-Protected Silicon/Carbon Nanofibers for Lithium-Ion Battery Anodes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2016, 210: 53-60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lrTb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z w:val="21"/>
                <w:szCs w:val="21"/>
              </w:rPr>
              <w:instrText xml:space="preserve"> HYPERLINK "http://www.sciencedirect.com/science/journal/00134686" \o "Go to Electrochimica Acta on ScienceDirect" </w:instrTex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/>
                <w:kern w:val="0"/>
                <w:sz w:val="21"/>
                <w:szCs w:val="21"/>
              </w:rPr>
              <w:t>Electrochimica Acta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iCs/>
                <w:kern w:val="0"/>
                <w:sz w:val="21"/>
                <w:szCs w:val="21"/>
              </w:rPr>
              <w:fldChar w:fldCharType="end"/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sz w:val="20"/>
                <w:szCs w:val="20"/>
              </w:rPr>
              <w:t xml:space="preserve">SCI </w:t>
            </w:r>
            <w:r>
              <w:rPr>
                <w:rFonts w:hint="eastAsia"/>
                <w:sz w:val="20"/>
                <w:szCs w:val="20"/>
              </w:rPr>
              <w:t>一档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2/8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1"/>
                <w:szCs w:val="21"/>
                <w:lang w:val="en-US" w:eastAsia="zh-CN"/>
              </w:rPr>
              <w:t>(通讯作者)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</w:tbl>
    <w:p>
      <w:pPr>
        <w:spacing w:line="300" w:lineRule="exact"/>
        <w:ind w:right="336" w:rightChars="160" w:firstLine="100" w:firstLineChars="5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注：类型指论文、著作、教材。类级别指</w:t>
      </w:r>
      <w:r>
        <w:rPr>
          <w:sz w:val="20"/>
          <w:szCs w:val="20"/>
        </w:rPr>
        <w:t xml:space="preserve">SCI </w:t>
      </w:r>
      <w:r>
        <w:rPr>
          <w:rFonts w:hint="eastAsia"/>
          <w:sz w:val="20"/>
          <w:szCs w:val="20"/>
        </w:rPr>
        <w:t>、一档、</w:t>
      </w:r>
      <w:r>
        <w:rPr>
          <w:sz w:val="20"/>
          <w:szCs w:val="20"/>
        </w:rPr>
        <w:t>CSSCI</w:t>
      </w:r>
      <w:r>
        <w:rPr>
          <w:rFonts w:hint="eastAsia"/>
          <w:sz w:val="20"/>
          <w:szCs w:val="20"/>
        </w:rPr>
        <w:t>等。</w:t>
      </w:r>
    </w:p>
    <w:p>
      <w:pPr>
        <w:pStyle w:val="14"/>
        <w:numPr>
          <w:ilvl w:val="0"/>
          <w:numId w:val="2"/>
        </w:numPr>
        <w:spacing w:line="300" w:lineRule="exact"/>
        <w:ind w:right="336" w:rightChars="160" w:firstLineChars="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指导学生论文、竞赛获奖（限填</w:t>
      </w:r>
      <w:r>
        <w:rPr>
          <w:rFonts w:ascii="黑体" w:eastAsia="黑体"/>
          <w:sz w:val="24"/>
        </w:rPr>
        <w:t>3</w:t>
      </w:r>
      <w:r>
        <w:rPr>
          <w:rFonts w:hint="eastAsia" w:ascii="黑体" w:eastAsia="黑体"/>
          <w:sz w:val="24"/>
        </w:rPr>
        <w:t>项）</w:t>
      </w:r>
    </w:p>
    <w:tbl>
      <w:tblPr>
        <w:tblStyle w:val="7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>
      <w:pPr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五、其他（填写与学科、专业、团队建设、青年教师培养等方面有关的工作业绩）</w:t>
      </w:r>
    </w:p>
    <w:tbl>
      <w:tblPr>
        <w:tblStyle w:val="7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4" w:hRule="atLeast"/>
        </w:trPr>
        <w:tc>
          <w:tcPr>
            <w:tcW w:w="103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ind w:firstLine="7200" w:firstLineChars="4000"/>
              <w:rPr>
                <w:rFonts w:ascii="宋体"/>
                <w:sz w:val="18"/>
                <w:szCs w:val="18"/>
              </w:rPr>
            </w:pPr>
          </w:p>
          <w:p>
            <w:pPr>
              <w:ind w:firstLine="7200" w:firstLineChars="400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部门负责人签字：</w:t>
            </w:r>
          </w:p>
        </w:tc>
      </w:tr>
    </w:tbl>
    <w:p>
      <w:pPr>
        <w:tabs>
          <w:tab w:val="left" w:pos="1095"/>
        </w:tabs>
        <w:spacing w:line="400" w:lineRule="exact"/>
        <w:ind w:right="336" w:rightChars="160"/>
        <w:jc w:val="left"/>
        <w:rPr>
          <w:rFonts w:ascii="黑体" w:eastAsia="黑体"/>
          <w:sz w:val="32"/>
          <w:szCs w:val="32"/>
        </w:rPr>
      </w:pPr>
    </w:p>
    <w:sectPr>
      <w:headerReference r:id="rId3" w:type="default"/>
      <w:pgSz w:w="11906" w:h="16838"/>
      <w:pgMar w:top="737" w:right="720" w:bottom="624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1"/>
        <w:szCs w:val="21"/>
      </w:rPr>
    </w:pPr>
    <w:r>
      <w:rPr>
        <w:rFonts w:hint="eastAsia"/>
        <w:sz w:val="21"/>
        <w:szCs w:val="21"/>
      </w:rPr>
      <w:t>附件2</w:t>
    </w:r>
    <w:r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2028D"/>
    <w:multiLevelType w:val="multilevel"/>
    <w:tmpl w:val="4952028D"/>
    <w:lvl w:ilvl="0" w:tentative="0">
      <w:start w:val="1"/>
      <w:numFmt w:val="japaneseCounting"/>
      <w:lvlText w:val="%1、"/>
      <w:lvlJc w:val="left"/>
      <w:pPr>
        <w:ind w:left="1004" w:hanging="720"/>
      </w:pPr>
      <w:rPr>
        <w:rFonts w:hint="default" w:cs="Times New Roman"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1">
    <w:nsid w:val="5E2506A6"/>
    <w:multiLevelType w:val="multilevel"/>
    <w:tmpl w:val="5E2506A6"/>
    <w:lvl w:ilvl="0" w:tentative="0">
      <w:start w:val="4"/>
      <w:numFmt w:val="japaneseCounting"/>
      <w:lvlText w:val="%1、"/>
      <w:lvlJc w:val="left"/>
      <w:pPr>
        <w:ind w:left="622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09102B96"/>
    <w:rsid w:val="0CAD35EB"/>
    <w:rsid w:val="102B4694"/>
    <w:rsid w:val="1A073F47"/>
    <w:rsid w:val="1A2662F2"/>
    <w:rsid w:val="27441EF0"/>
    <w:rsid w:val="276D0804"/>
    <w:rsid w:val="29E43864"/>
    <w:rsid w:val="31984FCB"/>
    <w:rsid w:val="36AF2D22"/>
    <w:rsid w:val="3C277F3E"/>
    <w:rsid w:val="3C641683"/>
    <w:rsid w:val="49242B3C"/>
    <w:rsid w:val="53FA3C53"/>
    <w:rsid w:val="5D99450A"/>
    <w:rsid w:val="60427395"/>
    <w:rsid w:val="6DF14E6A"/>
    <w:rsid w:val="74EF0185"/>
    <w:rsid w:val="79E5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iPriority w:val="99"/>
    <w:rPr>
      <w:sz w:val="18"/>
      <w:szCs w:val="18"/>
    </w:rPr>
  </w:style>
  <w:style w:type="paragraph" w:styleId="4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6"/>
    <w:link w:val="2"/>
    <w:locked/>
    <w:uiPriority w:val="99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10">
    <w:name w:val="Header Char"/>
    <w:semiHidden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Footer Char"/>
    <w:locked/>
    <w:uiPriority w:val="99"/>
    <w:rPr>
      <w:rFonts w:ascii="Times New Roman" w:hAnsi="Times New Roman" w:eastAsia="宋体"/>
      <w:sz w:val="18"/>
    </w:rPr>
  </w:style>
  <w:style w:type="character" w:customStyle="1" w:styleId="12">
    <w:name w:val="页眉 Char"/>
    <w:basedOn w:val="6"/>
    <w:link w:val="5"/>
    <w:semiHidden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3">
    <w:name w:val="页脚 Char"/>
    <w:basedOn w:val="6"/>
    <w:link w:val="4"/>
    <w:semiHidden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6"/>
    <w:link w:val="3"/>
    <w:semiHidden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2017-05-19T01:30:00Z</dcterms:created>
  <dc:creator>Administrator</dc:creator>
  <cp:lastModifiedBy>admin</cp:lastModifiedBy>
  <cp:lastPrinted>2017-05-19T01:26:00Z</cp:lastPrinted>
  <dcterms:modified xsi:type="dcterms:W3CDTF">2017-05-23T07:36:17Z</dcterms:modified>
  <dc:title>正高级专业技术岗位考核表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